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ACORDO DE SUBCONTRATANTE DO TRATAMENTO DE DADOS PESSOAIS</w:t>
      </w:r>
    </w:p>
    <w:p>
      <w:pPr>
        <w:jc w:val="center"/>
        <w:pBdr>
          <w:bottom w:val="single" w:sz="6" w:space="1" w:color="999999"/>
        </w:pBdr>
      </w:pPr>
      <w:r>
        <w:rPr>
          <w:i/>
          <w:color w:val="555555"/>
          <w:sz w:val="19"/>
        </w:rPr>
        <w:t>Conforme o artigo 28.º do Regulamento (UE) 2016/679 (RGPD) e o artigo 33.º da Lei Orgânica espanhola 3/2018, de 5 de dezembro, sobre proteção de dados pessoais e garantia dos direitos digitais (LOPDGDD).</w:t>
      </w:r>
    </w:p>
    <w:p/>
    <w:p>
      <w:r>
        <w:rPr>
          <w:b/>
          <w:sz w:val="24"/>
        </w:rPr>
        <w:t>ENTRE</w:t>
      </w:r>
    </w:p>
    <w:p>
      <w:r>
        <w:t>De um lado, o Cliente identificado na seção de assinatura deste documento, na qualidade de Responsável pelo Tratamento (doravante, o «Responsável»).</w:t>
      </w:r>
    </w:p>
    <w:p>
      <w:r>
        <w:t>E do outro lado, BILBAO AI, S.L., NIF espanhol B-13759758, com sede em Calle Diputación 8, 4.º andar, gabinete 5, 48008 Bilbao (Espanha), inscrita no Registo Mercantil de Biscaia, na qualidade de Subcontratante (doravante, o «Subcontratante» ou «Afini.ai»). E-mail para questões de privacidade: privacidad@afini.ai.</w:t>
      </w:r>
    </w:p>
    <w:p>
      <w:r>
        <w:rPr>
          <w:b/>
          <w:sz w:val="24"/>
        </w:rPr>
        <w:t>CONSIDERANDOS</w:t>
      </w:r>
    </w:p>
    <w:p>
      <w:r>
        <w:t>I. O Responsável contratou ou está prestes a contratar os serviços da plataforma Afini.ai (incluindo, conforme o caso, os produtos test.afini.ai e/ou afini.ai) para o tratamento de dados pessoais próprios ou de terceiros sob a sua responsabilidade.</w:t>
      </w:r>
    </w:p>
    <w:p>
      <w:r>
        <w:t>II. Esse tratamento implica que o Subcontratante aceda a dados pessoais por conta do Responsável, ativando o regime do artigo 28.º do RGPD.</w:t>
      </w:r>
    </w:p>
    <w:p>
      <w:r>
        <w:t>III. As partes desejam documentar por meio do presente Acordo as garantias exigidas pela legislação aplicável.</w:t>
      </w:r>
    </w:p>
    <w:p>
      <w:r>
        <w:rPr>
          <w:b/>
          <w:sz w:val="24"/>
        </w:rPr>
        <w:t>CLÁUSULAS</w:t>
      </w:r>
    </w:p>
    <w:p>
      <w:r>
        <w:rPr>
          <w:b/>
          <w:sz w:val="22"/>
        </w:rPr>
        <w:t>1. Objeto</w:t>
      </w:r>
    </w:p>
    <w:p>
      <w:pPr>
        <w:spacing w:after="120"/>
      </w:pPr>
      <w:r>
        <w:t>O presente Acordo regula as condições em que o Subcontratante tratará dados pessoais por conta do Responsável em consequência da prestação dos serviços contratados (doravante, os «Serviços»). Faz parte integrante do contrato principal entre as partes e prevalece sobre ele em matéria de proteção de dados.</w:t>
      </w:r>
    </w:p>
    <w:p>
      <w:r>
        <w:rPr>
          <w:b/>
          <w:sz w:val="22"/>
        </w:rPr>
        <w:t>2. Definições</w:t>
      </w:r>
    </w:p>
    <w:p>
      <w:pPr>
        <w:spacing w:after="120"/>
      </w:pPr>
      <w:r>
        <w:t>Os termos «dados pessoais», «tratamento», «responsável pelo tratamento», «subcontratante», «titular dos dados», «violação de dados pessoais», «categorias especiais» e «autoridade de controlo» têm o significado definido no artigo 4.º do RGPD. «Subcontratante ulterior» significa qualquer terceiro contratado pelo Subcontratante para tratar dados por conta do Responsável.</w:t>
      </w:r>
    </w:p>
    <w:p>
      <w:r>
        <w:rPr>
          <w:b/>
          <w:sz w:val="22"/>
        </w:rPr>
        <w:t>3. Duração</w:t>
      </w:r>
    </w:p>
    <w:p>
      <w:pPr>
        <w:spacing w:after="120"/>
      </w:pPr>
      <w:r>
        <w:t>O presente Acordo entra em vigor na data da última assinatura e mantém-se em vigor enquanto durarem os Serviços. As obrigações que pela sua natureza devam subsistir após a cessação (confidencialidade, eliminação, assistência residual) sobreviverão pelo prazo legalmente exigido.</w:t>
      </w:r>
    </w:p>
    <w:p>
      <w:r>
        <w:rPr>
          <w:b/>
          <w:sz w:val="22"/>
        </w:rPr>
        <w:t>4. Natureza, finalidade e objeto do tratamento</w:t>
      </w:r>
    </w:p>
    <w:p>
      <w:pPr>
        <w:spacing w:after="120"/>
      </w:pPr>
      <w:r>
        <w:t>O Subcontratante tratará os dados pessoais descritos no Anexo I exclusivamente para a prestação dos Serviços ao Responsável conforme as suas instruções documentadas, incluindo a elaboração de perfis cognitivos, a geração de relatórios e narrativas mediante modelos de linguagem, a faturação e o atendimento ao cliente. Qualquer tratamento ulterior com finalidade distinta exigirá instrução escrita prévia do Responsável ou, na sua ausência, base jurídica autónoma.</w:t>
      </w:r>
    </w:p>
    <w:p>
      <w:r>
        <w:rPr>
          <w:b/>
          <w:sz w:val="22"/>
        </w:rPr>
        <w:t>5. Tipos de dados pessoais e categorias de titulares</w:t>
      </w:r>
    </w:p>
    <w:p>
      <w:pPr>
        <w:spacing w:after="120"/>
      </w:pPr>
      <w:r>
        <w:t>Os tipos de dados e categorias de titulares são detalhados no Anexo I. O tratamento pode incluir categorias especiais ao abrigo do artigo 9.º do RGPD (traços psicológicos, valores, estilos de vínculo e outros dados derivados de instrumentos psicométricos) quando o Responsável o configurar. O Responsável garante a existência de base jurídica adequada para o tratamento de tais categorias.</w:t>
      </w:r>
    </w:p>
    <w:p>
      <w:r>
        <w:rPr>
          <w:b/>
          <w:sz w:val="22"/>
        </w:rPr>
        <w:t>6. Obrigações do Subcontratante (art. 28.º, n.º 3, RGPD)</w:t>
      </w:r>
    </w:p>
    <w:p>
      <w:pPr>
        <w:spacing w:after="120"/>
      </w:pPr>
      <w:r>
        <w:t>O Subcontratante compromete-se a: (a) tratar dados pessoais apenas com base em instruções documentadas do Responsável, incluindo no que respeita a transferências internacionais, salvo obrigação legal contrária, caso em que informará previamente o Responsável; (b) garantir que as pessoas autorizadas a tratar dados se comprometeram à confidencialidade ou estão sujeitas a um adequado dever legal de sigilo; (c) tomar todas as medidas exigidas pelo artigo 32.º do RGPD; (d) respeitar as condições de recurso a subcontratantes ulteriores nos termos da cláusula 7; (e) auxiliar o Responsável, mediante medidas técnicas e organizativas adequadas, a responder a pedidos dos titulares para o exercício dos seus direitos; (f) auxiliar o Responsável a garantir o cumprimento das obrigações dos artigos 32.º a 36.º do RGPD, tendo em conta a natureza do tratamento e as informações ao seu dispor; (g) à escolha do Responsável, eliminar ou devolver todos os dados pessoais após o termo da prestação dos Serviços e eliminar as cópias existentes, salvo obrigação legal de conservação; (h) disponibilizar ao Responsável toda a informação necessária para demonstrar o cumprimento das obrigações do artigo 28.º do RGPD e permitir e contribuir para auditorias, em conformidade com a cláusula 12.</w:t>
      </w:r>
    </w:p>
    <w:p>
      <w:r>
        <w:rPr>
          <w:b/>
          <w:sz w:val="22"/>
        </w:rPr>
        <w:t>7. Subcontratantes ulteriores (art. 28.º, n.º 2, RGPD)</w:t>
      </w:r>
    </w:p>
    <w:p>
      <w:pPr>
        <w:spacing w:after="120"/>
      </w:pPr>
      <w:r>
        <w:t>O Responsável autoriza, com caráter geral, o Subcontratante a recorrer aos subcontratantes ulteriores listados no Anexo III. O Subcontratante celebrará com cada subcontratante ulterior um contrato escrito que imponha obrigações equivalentes às do presente Acordo. O Subcontratante informará o Responsável de qualquer adição ou substituição de subcontratantes ulteriores com pelo menos trinta (30) dias de antecedência através da sua Política de Privacidade e/ou por correio eletrónico ao endereço de contacto fornecido, dando ao Responsável a oportunidade de se opor por motivos razoáveis. Uma oposição fundamentada permitirá ao Responsável rescindir o contrato sem penalização caso o Subcontratante não ofereça uma alternativa equivalente.</w:t>
      </w:r>
    </w:p>
    <w:p>
      <w:r>
        <w:rPr>
          <w:b/>
          <w:sz w:val="22"/>
        </w:rPr>
        <w:t>8. Transferências internacionais (Cap. V RGPD)</w:t>
      </w:r>
    </w:p>
    <w:p>
      <w:pPr>
        <w:spacing w:after="120"/>
      </w:pPr>
      <w:r>
        <w:t>Quando o tratamento implicar uma transferência internacional para fora do EEE (em particular, para a Anthropic, PBC, nos EUA), o Subcontratante apoiar-se-á em (i) cláusulas contratuais-tipo aprovadas pela Decisão de Execução (UE) 2021/914, celebradas com o subcontratante ulterior em causa, complementadas, sempre que adequado, por (ii) medidas suplementares técnicas (cifragem em trânsito e em repouso, minimização do conteúdo transferido) e organizativas (auditoria periódica, cláusula contratual de não treinamento). A lista atualizada das transferências consta no Anexo III.</w:t>
      </w:r>
    </w:p>
    <w:p>
      <w:r>
        <w:rPr>
          <w:b/>
          <w:sz w:val="22"/>
        </w:rPr>
        <w:t>9. Medidas técnicas e organizativas (art. 32.º RGPD)</w:t>
      </w:r>
    </w:p>
    <w:p>
      <w:pPr>
        <w:spacing w:after="120"/>
      </w:pPr>
      <w:r>
        <w:t>O Subcontratante aplica as medidas técnicas e organizativas descritas no Anexo II, que oferecem um nível de segurança adequado ao risco. Tais medidas são revistas e atualizadas periodicamente e sempre que se introduza uma camada nova, um modelo de linguagem novo ou uma funcionalidade de alto impacto.</w:t>
      </w:r>
    </w:p>
    <w:p>
      <w:r>
        <w:rPr>
          <w:b/>
          <w:sz w:val="22"/>
        </w:rPr>
        <w:t>10. Violações de dados pessoais (art. 33.º-34.º RGPD)</w:t>
      </w:r>
    </w:p>
    <w:p>
      <w:pPr>
        <w:spacing w:after="120"/>
      </w:pPr>
      <w:r>
        <w:t>O Subcontratante notificará o Responsável de qualquer violação de dados pessoais sem atraso indevido e, em qualquer caso, no prazo de quarenta e oito (48) horas a contar do conhecimento. A notificação incluirá a informação razoavelmente disponível e será complementada à medida que a investigação avance. O Subcontratante documenta todas as violações, os respetivos efeitos e as medidas corretivas adotadas.</w:t>
      </w:r>
    </w:p>
    <w:p>
      <w:r>
        <w:rPr>
          <w:b/>
          <w:sz w:val="22"/>
        </w:rPr>
        <w:t>11. Assistência ao Responsável</w:t>
      </w:r>
    </w:p>
    <w:p>
      <w:pPr>
        <w:spacing w:after="120"/>
      </w:pPr>
      <w:r>
        <w:t>O Subcontratante presta ao Responsável, mediante medidas técnicas e organizativas adequadas, a assistência razoável para responder a pedidos dos titulares de exercício dos seus direitos (acesso, retificação, eliminação, oposição, limitação, portabilidade e direito a não ficarem sujeitos a decisões automatizadas). O Subcontratante disponibiliza ao Responsável mecanismos de painel, exportação e eliminação que permitem cumprir autonomamente a maior parte de tais direitos.</w:t>
      </w:r>
    </w:p>
    <w:p>
      <w:r>
        <w:rPr>
          <w:b/>
          <w:sz w:val="22"/>
        </w:rPr>
        <w:t>12. Auditorias</w:t>
      </w:r>
    </w:p>
    <w:p>
      <w:pPr>
        <w:spacing w:after="120"/>
      </w:pPr>
      <w:r>
        <w:t>O Subcontratante disponibiliza ao Responsável a informação necessária para demonstrar o cumprimento do artigo 28.º do RGPD, incluindo o resumo executivo da DPIA, a política de segurança e os certificados dos subcontratantes ulteriores que tenha. O Responsável pode solicitar, com aviso prévio razoável de pelo menos sessenta (60) dias e não mais do que uma vez por ano (salvo incidente grave), uma auditoria documental ou o preenchimento de um questionário do tipo SIG-Lite, a expensas suas. As auditorias presenciais exigem acordo prévio das partes e devem ser realizadas em horário laboral, sem interferir na operação do Subcontratante.</w:t>
      </w:r>
    </w:p>
    <w:p>
      <w:r>
        <w:rPr>
          <w:b/>
          <w:sz w:val="22"/>
        </w:rPr>
        <w:t>13. Devolução ou eliminação ao termo</w:t>
      </w:r>
    </w:p>
    <w:p>
      <w:pPr>
        <w:spacing w:after="120"/>
      </w:pPr>
      <w:r>
        <w:t>Após o termo da prestação dos Serviços, o Subcontratante, à escolha do Responsável manifestada por escrito nos trinta (30) dias seguintes, devolverá ou eliminará os dados pessoais e eliminará as cópias existentes, salvo obrigação legal de conservação. Decorrido esse prazo sem instrução, será aplicada por padrão a eliminação, ficando registada no registo de atividades de tratamento.</w:t>
      </w:r>
    </w:p>
    <w:p>
      <w:r>
        <w:rPr>
          <w:b/>
          <w:sz w:val="22"/>
        </w:rPr>
        <w:t>14. Responsabilidade</w:t>
      </w:r>
    </w:p>
    <w:p>
      <w:pPr>
        <w:spacing w:after="120"/>
      </w:pPr>
      <w:r>
        <w:t>Cada parte responde perante a outra pelos danos que lhe cause por incumprimento do presente Acordo, conforme previsto no contrato principal e no artigo 82.º do RGPD. Sem prejuízo da responsabilidade solidária perante os titulares, na relação interna entre as partes, o Subcontratante apenas responde quando tenha violado as obrigações da regulamentação aplicável ou tenha atuado fora ou em contrário às instruções do Responsável.</w:t>
      </w:r>
    </w:p>
    <w:p>
      <w:r>
        <w:rPr>
          <w:b/>
          <w:sz w:val="22"/>
        </w:rPr>
        <w:t>15. Lei aplicável e jurisdição</w:t>
      </w:r>
    </w:p>
    <w:p>
      <w:pPr>
        <w:spacing w:after="120"/>
      </w:pPr>
      <w:r>
        <w:t>O presente Acordo rege-se pela lei espanhola e pelo Direito da União Europeia. As partes submetem-se aos Tribunais de Bilbao (Espanha), renunciando expressamente a qualquer outro foro que lhes pudesse caber, salvo norma imperativa em contrário.</w:t>
      </w:r>
    </w:p>
    <w:p>
      <w:r>
        <w:br w:type="page"/>
      </w:r>
    </w:p>
    <w:p>
      <w:pPr>
        <w:pBdr>
          <w:bottom w:val="single" w:sz="6" w:space="1" w:color="999999"/>
        </w:pBdr>
      </w:pPr>
      <w:r>
        <w:rPr>
          <w:b/>
          <w:sz w:val="26"/>
        </w:rPr>
        <w:t>ANEXO I — DESCRIÇÃO DO TRATAMENTO</w:t>
      </w:r>
    </w:p>
    <w:p>
      <w:r>
        <w:rPr>
          <w:b/>
        </w:rPr>
        <w:t>Natureza e finalidade do tratamento</w:t>
      </w:r>
    </w:p>
    <w:p>
      <w:r>
        <w:t>Prestação dos Serviços da plataforma Afini.ai: gestão de conta e autenticação, avaliação psicométrica (Big Five e, conforme o caso, camadas adicionais), elaboração de perfis cognitivos, geração de relatórios e narrativas mediante modelos de linguagem, atendimento ao cliente, faturação e manutenção.</w:t>
      </w:r>
    </w:p>
    <w:p>
      <w:r>
        <w:rPr>
          <w:b/>
        </w:rPr>
        <w:t>Tipos de dados pessoais</w:t>
      </w:r>
    </w:p>
    <w:p>
      <w:r>
        <w:t>Dados de identificação (e-mail, nome e apelidos quando fornecidos), dados de utilização do serviço (logs aplicacionais, métricas de uso do proxy LLM, eventos de auditoria), respostas a questionários psicométricos, conversas com a IA, camadas declaradas do perfil cognitivo, dados de pagamento tokenizados (geridos diretamente por Stripe; o Subcontratante não armazena PAN nem dados bancários).</w:t>
      </w:r>
    </w:p>
    <w:p>
      <w:r>
        <w:rPr>
          <w:b/>
        </w:rPr>
        <w:t>Categorias especiais ao abrigo do art. 9.º do RGPD</w:t>
      </w:r>
    </w:p>
    <w:p>
      <w:r>
        <w:t>Quando ativadas pelo Responsável: traços psicológicos (Big Five), estilos de humor (HSQ), estilos de vínculo (ECR-R), valores pessoais (AVI), orientação temporal (ZTPI) e outros dados derivados da conversa cognitivo-estética.</w:t>
      </w:r>
    </w:p>
    <w:p>
      <w:r>
        <w:rPr>
          <w:b/>
        </w:rPr>
        <w:t>Categorias de titulares</w:t>
      </w:r>
    </w:p>
    <w:p>
      <w:r>
        <w:t>Utilizadores finais do Responsável, profissionais convidados pelo Responsável para a plataforma e, conforme o caso, membros do pessoal do Responsável.</w:t>
      </w:r>
    </w:p>
    <w:p>
      <w:r>
        <w:rPr>
          <w:b/>
        </w:rPr>
        <w:t>Duração do tratamento</w:t>
      </w:r>
    </w:p>
    <w:p>
      <w:r>
        <w:t>Enquanto durar a prestação dos Serviços, acrescidos dos prazos legais de conservação quando aplicáveis.</w:t>
      </w:r>
    </w:p>
    <w:p>
      <w:r>
        <w:rPr>
          <w:b/>
        </w:rPr>
        <w:t>Locais de tratamento</w:t>
      </w:r>
    </w:p>
    <w:p>
      <w:r>
        <w:t>União Europeia (Railway eu-west, Cloudflare, Sentry região UE) e, no que respeita à inferência LLM, Estados Unidos (Anthropic) sob cláusulas contratuais-tipo da UE.</w:t>
      </w:r>
    </w:p>
    <w:p>
      <w:r>
        <w:br w:type="page"/>
      </w:r>
    </w:p>
    <w:p>
      <w:pPr>
        <w:pBdr>
          <w:bottom w:val="single" w:sz="6" w:space="1" w:color="999999"/>
        </w:pBdr>
      </w:pPr>
      <w:r>
        <w:rPr>
          <w:b/>
          <w:sz w:val="26"/>
        </w:rPr>
        <w:t>ANEXO II — MEDIDAS TÉCNICAS E ORGANIZATIVAS</w:t>
      </w:r>
    </w:p>
    <w:p>
      <w:r>
        <w:rPr>
          <w:b/>
        </w:rPr>
        <w:t xml:space="preserve">Cifragem. </w:t>
      </w:r>
      <w:r>
        <w:t>TLS 1.2 ou superior em trânsito; AES-256 em repouso na base de dados e nos volumes persistentes.</w:t>
      </w:r>
    </w:p>
    <w:p>
      <w:r>
        <w:rPr>
          <w:b/>
        </w:rPr>
        <w:t xml:space="preserve">Controlo de acesso. </w:t>
      </w:r>
      <w:r>
        <w:t>Autenticação reforçada por magic-link e/ou OAuth, duplo fator (TOTP e WebAuthn) obrigatório para administradores; princípio do mínimo privilégio; rotação periódica de credenciais e revogação imediata ao termo da relação.</w:t>
      </w:r>
    </w:p>
    <w:p>
      <w:r>
        <w:rPr>
          <w:b/>
        </w:rPr>
        <w:t xml:space="preserve">Segregação de ambientes. </w:t>
      </w:r>
      <w:r>
        <w:t>Separação lógica entre ambientes de desenvolvimento, staging e produção; segredos geridos como variáveis de ambiente em Railway com escopo por serviço.</w:t>
      </w:r>
    </w:p>
    <w:p>
      <w:r>
        <w:rPr>
          <w:b/>
        </w:rPr>
        <w:t xml:space="preserve">Rastreabilidade. </w:t>
      </w:r>
      <w:r>
        <w:t>Registo de atividade administrativa com hash de IP, identidade do ator e ação executada; retenção mínima 12 meses.</w:t>
      </w:r>
    </w:p>
    <w:p>
      <w:r>
        <w:rPr>
          <w:b/>
        </w:rPr>
        <w:t xml:space="preserve">Minimização na inferência LLM. </w:t>
      </w:r>
      <w:r>
        <w:t>Injeção no proxy LLM exclusivamente do subconjunto estritamente necessário do perfil; o conteúdo das conversas não é utilizado para treinar modelos (DPA com Anthropic com cláusula contratual de não treinamento).</w:t>
      </w:r>
    </w:p>
    <w:p>
      <w:r>
        <w:rPr>
          <w:b/>
        </w:rPr>
        <w:t xml:space="preserve">Pseudonimização e anonimização. </w:t>
      </w:r>
      <w:r>
        <w:t>Hashes salgados de IP; logs aplicacionais sem conteúdo conversacional; retenção 30 dias nos logs e 90 dias no monitor de erros.</w:t>
      </w:r>
    </w:p>
    <w:p>
      <w:r>
        <w:rPr>
          <w:b/>
        </w:rPr>
        <w:t xml:space="preserve">Notificação de violações. </w:t>
      </w:r>
      <w:r>
        <w:t>Procedimento documentado com prazos e responsáveis; comunicação ao Responsável em menos de 48 h após o conhecimento.</w:t>
      </w:r>
    </w:p>
    <w:p>
      <w:r>
        <w:rPr>
          <w:b/>
        </w:rPr>
        <w:t xml:space="preserve">Continuidade e cópias de segurança. </w:t>
      </w:r>
      <w:r>
        <w:t>Cópias diárias automáticas da base de dados com retenção de 7 a 30 dias conforme o plano; testes periódicos de restauro.</w:t>
      </w:r>
    </w:p>
    <w:p>
      <w:r>
        <w:rPr>
          <w:b/>
        </w:rPr>
        <w:t xml:space="preserve">Formação e confidencialidade. </w:t>
      </w:r>
      <w:r>
        <w:t>Pessoal do Subcontratante sujeito a dever escrito de confidencialidade; formação anual em proteção de dados e segurança da informação.</w:t>
      </w:r>
    </w:p>
    <w:p>
      <w:r>
        <w:rPr>
          <w:b/>
        </w:rPr>
        <w:t xml:space="preserve">Revisão. </w:t>
      </w:r>
      <w:r>
        <w:t>Revisão anual das medidas e sempre que se introduza uma camada nova, um modelo novo ou uma alteração substantiva da base jurídica.</w:t>
      </w:r>
    </w:p>
    <w:p>
      <w:r>
        <w:br w:type="page"/>
      </w:r>
    </w:p>
    <w:p>
      <w:pPr>
        <w:pBdr>
          <w:bottom w:val="single" w:sz="6" w:space="1" w:color="999999"/>
        </w:pBdr>
      </w:pPr>
      <w:r>
        <w:rPr>
          <w:b/>
          <w:sz w:val="26"/>
        </w:rPr>
        <w:t>ANEXO III — SUBCONTRATANTES ULTERIORES AUTORIZADOS</w:t>
      </w:r>
    </w:p>
    <w:p>
      <w:r>
        <w:t>Lista dos subcontratantes ulteriores autorizados à data da assinatura. A versão atualizada é mantida em https://afini.ai/pt/legal/dpia e na Política de Privacidade.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79"/>
        <w:gridCol w:w="2379"/>
        <w:gridCol w:w="2379"/>
        <w:gridCol w:w="2379"/>
      </w:tblGrid>
      <w:tr>
        <w:tc>
          <w:tcPr>
            <w:tcW w:type="dxa" w:w="2379"/>
            <w:shd w:val="clear" w:color="auto" w:fill="1F3B73"/>
          </w:tcPr>
          <w:p>
            <w:r>
              <w:rPr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Subcontratante ulterior</w:t>
            </w:r>
          </w:p>
        </w:tc>
        <w:tc>
          <w:tcPr>
            <w:tcW w:type="dxa" w:w="2379"/>
            <w:shd w:val="clear" w:color="auto" w:fill="1F3B73"/>
          </w:tcPr>
          <w:p>
            <w:r>
              <w:rPr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Serviço</w:t>
            </w:r>
          </w:p>
        </w:tc>
        <w:tc>
          <w:tcPr>
            <w:tcW w:type="dxa" w:w="2379"/>
            <w:shd w:val="clear" w:color="auto" w:fill="1F3B73"/>
          </w:tcPr>
          <w:p>
            <w:r>
              <w:rPr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Localização</w:t>
            </w:r>
          </w:p>
        </w:tc>
        <w:tc>
          <w:tcPr>
            <w:tcW w:type="dxa" w:w="2379"/>
            <w:shd w:val="clear" w:color="auto" w:fill="1F3B73"/>
          </w:tcPr>
          <w:p>
            <w:r>
              <w:rPr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t>Garantias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Stripe Payments Europe Ltd.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Gateway de pagamento e faturação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Irlanda (UE)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Subcontratante na UE; PCI-DSS L1; o Subcontratante não armazena PAN.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Anthropic, PBC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Inferência LLM (Claude)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Estados Unidos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CCT UE 2021/914 + cláusula contratual de não treinamento.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Resend Inc.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E-mail transacional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Estados Unidos / UE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CCT UE 2021/914.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Holded Technologies, S.L.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Faturação espanhola TicketBAI/BATUZ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Espanha (UE)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Subcontratante na UE.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Railway Corp.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Hosting e base de dados PostgreSQL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UE (eu-west)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Tratamento na região europeia.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Cloudflare, Inc.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CDN, WAF e DNS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UE (rede europeia)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CCT UE 2021/914 quando aplicáveis.</w:t>
            </w:r>
          </w:p>
        </w:tc>
      </w:tr>
      <w:tr>
        <w:tc>
          <w:tcPr>
            <w:tcW w:type="dxa" w:w="2379"/>
          </w:tcPr>
          <w:p>
            <w:r>
              <w:rPr>
                <w:sz w:val="19"/>
              </w:rPr>
              <w:t>Functional Software, Inc. (Sentry)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Monitorização de erros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UE (região de Frankfurt)</w:t>
            </w:r>
          </w:p>
        </w:tc>
        <w:tc>
          <w:tcPr>
            <w:tcW w:type="dxa" w:w="2379"/>
          </w:tcPr>
          <w:p>
            <w:r>
              <w:rPr>
                <w:sz w:val="19"/>
              </w:rPr>
              <w:t>Tratamento europeu.</w:t>
            </w:r>
          </w:p>
        </w:tc>
      </w:tr>
    </w:tbl>
    <w:p>
      <w:r>
        <w:br w:type="page"/>
      </w:r>
    </w:p>
    <w:p>
      <w:pPr>
        <w:pBdr>
          <w:bottom w:val="single" w:sz="6" w:space="1" w:color="999999"/>
        </w:pBdr>
      </w:pPr>
      <w:r>
        <w:rPr>
          <w:b/>
          <w:sz w:val="26"/>
        </w:rPr>
        <w:t>ASSINATURAS</w:t>
      </w:r>
    </w:p>
    <w:p>
      <w:r>
        <w:t>As partes assinam o presente Acordo em sinal de conformidade. A assinatura eletrónica qualificada ou avançada com selo temporal é considerada equivalente à manuscrita conforme o Regulamento (UE) 910/2014 (eIDAS) e a Lei espanhola 6/2020.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r/>
            <w:r>
              <w:rPr>
                <w:b/>
                <w:sz w:val="22"/>
              </w:rPr>
              <w:t>Pelo Responsável</w:t>
            </w:r>
          </w:p>
          <w:p>
            <w:r>
              <w:rPr>
                <w:b/>
                <w:sz w:val="20"/>
              </w:rPr>
              <w:t xml:space="preserve">Razão social: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NIF / CNPJ: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Morada: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E-mail de contacto: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Nome e cargo: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Data: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Assinatura: </w:t>
            </w:r>
            <w:r>
              <w:rPr>
                <w:sz w:val="20"/>
              </w:rPr>
              <w:t>________________________</w:t>
            </w:r>
          </w:p>
        </w:tc>
        <w:tc>
          <w:tcPr>
            <w:tcW w:type="dxa" w:w="4759"/>
          </w:tcPr>
          <w:p>
            <w:r/>
            <w:r>
              <w:rPr>
                <w:b/>
                <w:sz w:val="22"/>
              </w:rPr>
              <w:t>Pelo Subcontratante — BILBAO AI, S.L.</w:t>
            </w:r>
          </w:p>
          <w:p>
            <w:r>
              <w:rPr>
                <w:b/>
                <w:sz w:val="20"/>
              </w:rPr>
              <w:t xml:space="preserve">Razão social: </w:t>
            </w:r>
            <w:r>
              <w:rPr>
                <w:sz w:val="20"/>
              </w:rPr>
              <w:t>BILBAO AI, S.L.</w:t>
            </w:r>
          </w:p>
          <w:p>
            <w:r>
              <w:rPr>
                <w:b/>
                <w:sz w:val="20"/>
              </w:rPr>
              <w:t xml:space="preserve">NIF / CNPJ: </w:t>
            </w:r>
            <w:r>
              <w:rPr>
                <w:sz w:val="20"/>
              </w:rPr>
              <w:t>B-13759758</w:t>
            </w:r>
          </w:p>
          <w:p>
            <w:r>
              <w:rPr>
                <w:b/>
                <w:sz w:val="20"/>
              </w:rPr>
              <w:t xml:space="preserve">Morada: </w:t>
            </w:r>
            <w:r>
              <w:rPr>
                <w:sz w:val="20"/>
              </w:rPr>
              <w:t>Calle Diputación 8, 4ª pta., dpto. 5 — 48008 Bilbao (Spain)</w:t>
            </w:r>
          </w:p>
          <w:p>
            <w:r>
              <w:rPr>
                <w:b/>
                <w:sz w:val="20"/>
              </w:rPr>
              <w:t xml:space="preserve">E-mail de contacto: </w:t>
            </w:r>
            <w:r>
              <w:rPr>
                <w:sz w:val="20"/>
              </w:rPr>
              <w:t>privacidad@afini.ai</w:t>
            </w:r>
          </w:p>
          <w:p>
            <w:r>
              <w:rPr>
                <w:b/>
                <w:sz w:val="20"/>
              </w:rPr>
              <w:t xml:space="preserve">Nome e cargo: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Data: </w:t>
            </w:r>
            <w:r>
              <w:rPr>
                <w:sz w:val="20"/>
              </w:rPr>
              <w:t>________________________</w:t>
            </w:r>
          </w:p>
          <w:p>
            <w:r>
              <w:rPr>
                <w:b/>
                <w:sz w:val="20"/>
              </w:rPr>
              <w:t xml:space="preserve">Assinatura: </w:t>
            </w:r>
            <w:r>
              <w:rPr>
                <w:sz w:val="20"/>
              </w:rPr>
              <w:t>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BILBAO AI, S.L. — NIF B-13759758 — Calle Diputación 8, 4.º andar, gabinete 5, 48008 Bilbao (Espanha) — privacidad@afini.ai — https://afini.ai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777777"/>
        <w:sz w:val="16"/>
      </w:rPr>
      <w:t>Acordo de Subcontratante de Tratamento (DPA) — Afini.ai  ·  v1.0 — 6 de maio de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